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7F4741" w:rsidTr="007F4741">
        <w:trPr>
          <w:tblCellSpacing w:w="0" w:type="dxa"/>
        </w:trPr>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8994"/>
              <w:gridCol w:w="6"/>
            </w:tblGrid>
            <w:tr w:rsidR="007F4741">
              <w:trPr>
                <w:jc w:val="center"/>
              </w:trPr>
              <w:tc>
                <w:tcPr>
                  <w:tcW w:w="0" w:type="auto"/>
                  <w:gridSpan w:val="2"/>
                  <w:shd w:val="clear" w:color="auto" w:fill="004070"/>
                  <w:vAlign w:val="center"/>
                  <w:hideMark/>
                </w:tcPr>
                <w:p w:rsidR="007F4741" w:rsidRDefault="007F4741">
                  <w:pPr>
                    <w:rPr>
                      <w:rFonts w:ascii="Arial" w:eastAsia="Times New Roman" w:hAnsi="Arial" w:cs="Arial"/>
                    </w:rPr>
                  </w:pPr>
                  <w:r>
                    <w:rPr>
                      <w:rFonts w:ascii="Arial" w:eastAsia="Times New Roman" w:hAnsi="Arial" w:cs="Arial"/>
                    </w:rPr>
                    <w:t> </w:t>
                  </w:r>
                </w:p>
              </w:tc>
            </w:tr>
            <w:tr w:rsidR="007F474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4497"/>
                    <w:gridCol w:w="4497"/>
                  </w:tblGrid>
                  <w:tr w:rsidR="007F4741">
                    <w:tc>
                      <w:tcPr>
                        <w:tcW w:w="2500" w:type="pct"/>
                        <w:shd w:val="clear" w:color="auto" w:fill="FFFFFF"/>
                        <w:tcMar>
                          <w:top w:w="525" w:type="dxa"/>
                          <w:left w:w="525" w:type="dxa"/>
                          <w:bottom w:w="525" w:type="dxa"/>
                          <w:right w:w="0" w:type="dxa"/>
                        </w:tcMar>
                        <w:vAlign w:val="center"/>
                        <w:hideMark/>
                      </w:tcPr>
                      <w:p w:rsidR="007F4741" w:rsidRDefault="007F4741">
                        <w:pPr>
                          <w:rPr>
                            <w:rFonts w:ascii="Arial" w:eastAsia="Times New Roman" w:hAnsi="Arial" w:cs="Arial"/>
                            <w:color w:val="004071"/>
                            <w:sz w:val="18"/>
                            <w:szCs w:val="18"/>
                          </w:rPr>
                        </w:pPr>
                        <w:r>
                          <w:rPr>
                            <w:rFonts w:ascii="Arial" w:eastAsia="Times New Roman" w:hAnsi="Arial" w:cs="Arial"/>
                            <w:noProof/>
                            <w:color w:val="004071"/>
                            <w:sz w:val="18"/>
                            <w:szCs w:val="18"/>
                          </w:rPr>
                          <w:drawing>
                            <wp:inline distT="0" distB="0" distL="0" distR="0">
                              <wp:extent cx="1311910" cy="457200"/>
                              <wp:effectExtent l="0" t="0" r="2540" b="0"/>
                              <wp:docPr id="5" name="Picture 5" descr="https://info.b2bbank.com/rs/931-FHT-899/images/B2B%20Bank_EN_by_c_rgb_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b2bbank.com/rs/931-FHT-899/images/B2B%20Bank_EN_by_c_rgb_Key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457200"/>
                                      </a:xfrm>
                                      <a:prstGeom prst="rect">
                                        <a:avLst/>
                                      </a:prstGeom>
                                      <a:noFill/>
                                      <a:ln>
                                        <a:noFill/>
                                      </a:ln>
                                    </pic:spPr>
                                  </pic:pic>
                                </a:graphicData>
                              </a:graphic>
                            </wp:inline>
                          </w:drawing>
                        </w:r>
                      </w:p>
                    </w:tc>
                    <w:tc>
                      <w:tcPr>
                        <w:tcW w:w="2500" w:type="pct"/>
                        <w:shd w:val="clear" w:color="auto" w:fill="FFFFFF"/>
                        <w:tcMar>
                          <w:top w:w="0" w:type="dxa"/>
                          <w:left w:w="525" w:type="dxa"/>
                          <w:bottom w:w="525" w:type="dxa"/>
                          <w:right w:w="525" w:type="dxa"/>
                        </w:tcMar>
                        <w:vAlign w:val="center"/>
                        <w:hideMark/>
                      </w:tcPr>
                      <w:p w:rsidR="007F4741" w:rsidRDefault="007F4741">
                        <w:pPr>
                          <w:jc w:val="right"/>
                          <w:rPr>
                            <w:rFonts w:ascii="Arial" w:eastAsia="Times New Roman" w:hAnsi="Arial" w:cs="Arial"/>
                            <w:color w:val="004071"/>
                            <w:sz w:val="18"/>
                            <w:szCs w:val="18"/>
                          </w:rPr>
                        </w:pPr>
                        <w:hyperlink r:id="rId6" w:history="1">
                          <w:r>
                            <w:rPr>
                              <w:rStyle w:val="Hyperlink"/>
                              <w:rFonts w:ascii="Arial" w:eastAsia="Times New Roman" w:hAnsi="Arial" w:cs="Arial"/>
                              <w:color w:val="004071"/>
                              <w:sz w:val="18"/>
                              <w:szCs w:val="18"/>
                            </w:rPr>
                            <w:t>Read Online</w:t>
                          </w:r>
                        </w:hyperlink>
                        <w:r>
                          <w:rPr>
                            <w:rFonts w:ascii="Arial" w:eastAsia="Times New Roman" w:hAnsi="Arial" w:cs="Arial"/>
                            <w:color w:val="004071"/>
                            <w:sz w:val="18"/>
                            <w:szCs w:val="18"/>
                          </w:rPr>
                          <w:t xml:space="preserve"> </w:t>
                        </w:r>
                      </w:p>
                    </w:tc>
                  </w:tr>
                </w:tbl>
                <w:p w:rsidR="007F4741" w:rsidRDefault="007F4741">
                  <w:pPr>
                    <w:rPr>
                      <w:rFonts w:eastAsia="Times New Roman"/>
                      <w:sz w:val="20"/>
                      <w:szCs w:val="20"/>
                    </w:rPr>
                  </w:pPr>
                </w:p>
              </w:tc>
              <w:tc>
                <w:tcPr>
                  <w:tcW w:w="0" w:type="auto"/>
                  <w:vAlign w:val="center"/>
                  <w:hideMark/>
                </w:tcPr>
                <w:p w:rsidR="007F4741" w:rsidRDefault="007F4741">
                  <w:pPr>
                    <w:rPr>
                      <w:rFonts w:eastAsia="Times New Roman"/>
                      <w:sz w:val="20"/>
                      <w:szCs w:val="20"/>
                    </w:rPr>
                  </w:pPr>
                </w:p>
              </w:tc>
            </w:tr>
            <w:tr w:rsidR="007F474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994"/>
                  </w:tblGrid>
                  <w:tr w:rsidR="007F4741">
                    <w:tc>
                      <w:tcPr>
                        <w:tcW w:w="0" w:type="auto"/>
                        <w:tcBorders>
                          <w:top w:val="nil"/>
                          <w:left w:val="nil"/>
                          <w:bottom w:val="single" w:sz="48" w:space="0" w:color="FDB913"/>
                          <w:right w:val="nil"/>
                        </w:tcBorders>
                        <w:shd w:val="clear" w:color="auto" w:fill="004070"/>
                        <w:tcMar>
                          <w:top w:w="525" w:type="dxa"/>
                          <w:left w:w="525" w:type="dxa"/>
                          <w:bottom w:w="525" w:type="dxa"/>
                          <w:right w:w="525" w:type="dxa"/>
                        </w:tcMar>
                        <w:vAlign w:val="center"/>
                        <w:hideMark/>
                      </w:tcPr>
                      <w:p w:rsidR="007F4741" w:rsidRDefault="007F4741">
                        <w:pPr>
                          <w:spacing w:line="216" w:lineRule="auto"/>
                          <w:rPr>
                            <w:rFonts w:ascii="Arial" w:eastAsia="Times New Roman" w:hAnsi="Arial" w:cs="Arial"/>
                            <w:b/>
                            <w:bCs/>
                            <w:color w:val="FFFFFF"/>
                            <w:spacing w:val="-30"/>
                            <w:sz w:val="98"/>
                            <w:szCs w:val="98"/>
                          </w:rPr>
                        </w:pPr>
                        <w:r>
                          <w:rPr>
                            <w:rFonts w:ascii="Arial" w:eastAsia="Times New Roman" w:hAnsi="Arial" w:cs="Arial"/>
                            <w:b/>
                            <w:bCs/>
                            <w:color w:val="FFFFFF"/>
                            <w:spacing w:val="-30"/>
                            <w:sz w:val="98"/>
                            <w:szCs w:val="98"/>
                          </w:rPr>
                          <w:t>Seize the opportunity</w:t>
                        </w:r>
                      </w:p>
                    </w:tc>
                  </w:tr>
                </w:tbl>
                <w:p w:rsidR="007F4741" w:rsidRDefault="007F4741">
                  <w:pPr>
                    <w:rPr>
                      <w:rFonts w:eastAsia="Times New Roman"/>
                      <w:sz w:val="20"/>
                      <w:szCs w:val="20"/>
                    </w:rPr>
                  </w:pPr>
                </w:p>
              </w:tc>
              <w:tc>
                <w:tcPr>
                  <w:tcW w:w="0" w:type="auto"/>
                  <w:shd w:val="clear" w:color="auto" w:fill="FFFFFF"/>
                  <w:vAlign w:val="center"/>
                  <w:hideMark/>
                </w:tcPr>
                <w:p w:rsidR="007F4741" w:rsidRDefault="007F4741">
                  <w:pPr>
                    <w:rPr>
                      <w:rFonts w:eastAsia="Times New Roman"/>
                      <w:sz w:val="20"/>
                      <w:szCs w:val="20"/>
                    </w:rPr>
                  </w:pPr>
                </w:p>
              </w:tc>
            </w:tr>
            <w:tr w:rsidR="007F4741">
              <w:trPr>
                <w:jc w:val="center"/>
              </w:trPr>
              <w:tc>
                <w:tcPr>
                  <w:tcW w:w="0" w:type="auto"/>
                  <w:shd w:val="clear" w:color="auto" w:fill="FFFFFF"/>
                  <w:tcMar>
                    <w:top w:w="120" w:type="dxa"/>
                    <w:left w:w="525" w:type="dxa"/>
                    <w:bottom w:w="120" w:type="dxa"/>
                    <w:right w:w="525" w:type="dxa"/>
                  </w:tcMar>
                  <w:vAlign w:val="center"/>
                  <w:hideMark/>
                </w:tcPr>
                <w:p w:rsidR="007F4741" w:rsidRDefault="007F4741">
                  <w:pPr>
                    <w:spacing w:line="288" w:lineRule="auto"/>
                    <w:rPr>
                      <w:rFonts w:ascii="Arial" w:eastAsia="Times New Roman" w:hAnsi="Arial" w:cs="Arial"/>
                      <w:color w:val="004070"/>
                    </w:rPr>
                  </w:pPr>
                  <w:r>
                    <w:rPr>
                      <w:rFonts w:ascii="Arial" w:eastAsia="Times New Roman" w:hAnsi="Arial" w:cs="Arial"/>
                      <w:color w:val="004070"/>
                    </w:rPr>
                    <w:t xml:space="preserve">  </w:t>
                  </w:r>
                </w:p>
              </w:tc>
              <w:tc>
                <w:tcPr>
                  <w:tcW w:w="0" w:type="auto"/>
                  <w:vAlign w:val="center"/>
                  <w:hideMark/>
                </w:tcPr>
                <w:p w:rsidR="007F4741" w:rsidRDefault="007F4741">
                  <w:pPr>
                    <w:rPr>
                      <w:rFonts w:ascii="Arial" w:eastAsia="Times New Roman" w:hAnsi="Arial" w:cs="Arial"/>
                      <w:color w:val="004070"/>
                    </w:rPr>
                  </w:pPr>
                </w:p>
              </w:tc>
            </w:tr>
            <w:tr w:rsidR="007F4741">
              <w:trPr>
                <w:jc w:val="center"/>
              </w:trPr>
              <w:tc>
                <w:tcPr>
                  <w:tcW w:w="0" w:type="auto"/>
                  <w:shd w:val="clear" w:color="auto" w:fill="FFFFFF"/>
                  <w:tcMar>
                    <w:top w:w="0" w:type="dxa"/>
                    <w:left w:w="525" w:type="dxa"/>
                    <w:bottom w:w="0" w:type="dxa"/>
                    <w:right w:w="525" w:type="dxa"/>
                  </w:tcMar>
                  <w:vAlign w:val="center"/>
                  <w:hideMark/>
                </w:tcPr>
                <w:p w:rsidR="007F4741" w:rsidRDefault="007F4741">
                  <w:pPr>
                    <w:spacing w:line="288" w:lineRule="auto"/>
                    <w:rPr>
                      <w:rFonts w:ascii="Arial" w:eastAsia="Times New Roman" w:hAnsi="Arial" w:cs="Arial"/>
                      <w:color w:val="004070"/>
                    </w:rPr>
                  </w:pPr>
                  <w:r>
                    <w:rPr>
                      <w:rFonts w:ascii="Arial" w:eastAsia="Times New Roman" w:hAnsi="Arial" w:cs="Arial"/>
                      <w:color w:val="004070"/>
                    </w:rPr>
                    <w:t>As Canadians focus more on sa</w:t>
                  </w:r>
                  <w:bookmarkStart w:id="0" w:name="_GoBack"/>
                  <w:bookmarkEnd w:id="0"/>
                  <w:r>
                    <w:rPr>
                      <w:rFonts w:ascii="Arial" w:eastAsia="Times New Roman" w:hAnsi="Arial" w:cs="Arial"/>
                      <w:color w:val="004070"/>
                    </w:rPr>
                    <w:t xml:space="preserve">ving, it’s a great time to help your clients invest in the retirement of their dreams with a </w:t>
                  </w:r>
                  <w:hyperlink r:id="rId7" w:tgtFrame="_blank" w:history="1">
                    <w:r>
                      <w:rPr>
                        <w:rStyle w:val="Hyperlink"/>
                        <w:rFonts w:ascii="Arial" w:eastAsia="Times New Roman" w:hAnsi="Arial" w:cs="Arial"/>
                        <w:b/>
                        <w:bCs/>
                        <w:color w:val="004070"/>
                      </w:rPr>
                      <w:t>B2B Bank RSP Loan</w:t>
                    </w:r>
                  </w:hyperlink>
                  <w:r>
                    <w:rPr>
                      <w:rFonts w:ascii="Arial" w:eastAsia="Times New Roman" w:hAnsi="Arial" w:cs="Arial"/>
                      <w:color w:val="004070"/>
                    </w:rPr>
                    <w:t>.</w:t>
                  </w:r>
                </w:p>
              </w:tc>
              <w:tc>
                <w:tcPr>
                  <w:tcW w:w="0" w:type="auto"/>
                  <w:shd w:val="clear" w:color="auto" w:fill="FFFFFF"/>
                  <w:vAlign w:val="center"/>
                  <w:hideMark/>
                </w:tcPr>
                <w:p w:rsidR="007F4741" w:rsidRDefault="007F4741">
                  <w:pPr>
                    <w:rPr>
                      <w:rFonts w:ascii="Arial" w:eastAsia="Times New Roman" w:hAnsi="Arial" w:cs="Arial"/>
                      <w:color w:val="004070"/>
                    </w:rPr>
                  </w:pPr>
                </w:p>
              </w:tc>
            </w:tr>
            <w:tr w:rsidR="007F4741">
              <w:trPr>
                <w:jc w:val="center"/>
              </w:trPr>
              <w:tc>
                <w:tcPr>
                  <w:tcW w:w="0" w:type="auto"/>
                  <w:shd w:val="clear" w:color="auto" w:fill="FFFFFF"/>
                  <w:tcMar>
                    <w:top w:w="525" w:type="dxa"/>
                    <w:left w:w="525" w:type="dxa"/>
                    <w:bottom w:w="525" w:type="dxa"/>
                    <w:right w:w="52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35"/>
                    <w:gridCol w:w="5602"/>
                  </w:tblGrid>
                  <w:tr w:rsidR="007F4741">
                    <w:trPr>
                      <w:tblCellSpacing w:w="0" w:type="dxa"/>
                    </w:trPr>
                    <w:tc>
                      <w:tcPr>
                        <w:tcW w:w="0" w:type="auto"/>
                        <w:tcMar>
                          <w:top w:w="0" w:type="dxa"/>
                          <w:left w:w="0" w:type="dxa"/>
                          <w:bottom w:w="300" w:type="dxa"/>
                          <w:right w:w="225" w:type="dxa"/>
                        </w:tcMar>
                        <w:vAlign w:val="center"/>
                        <w:hideMark/>
                      </w:tcPr>
                      <w:p w:rsidR="007F4741" w:rsidRDefault="007F4741">
                        <w:pPr>
                          <w:rPr>
                            <w:rFonts w:ascii="Arial" w:eastAsia="Times New Roman" w:hAnsi="Arial" w:cs="Arial"/>
                          </w:rPr>
                        </w:pPr>
                        <w:r>
                          <w:rPr>
                            <w:rFonts w:ascii="Arial" w:eastAsia="Times New Roman" w:hAnsi="Arial" w:cs="Arial"/>
                            <w:noProof/>
                          </w:rPr>
                          <w:drawing>
                            <wp:inline distT="0" distB="0" distL="0" distR="0">
                              <wp:extent cx="321310" cy="429895"/>
                              <wp:effectExtent l="0" t="0" r="2540" b="8255"/>
                              <wp:docPr id="4" name="Picture 4" descr="awar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d-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 cy="429895"/>
                                      </a:xfrm>
                                      <a:prstGeom prst="rect">
                                        <a:avLst/>
                                      </a:prstGeom>
                                      <a:noFill/>
                                      <a:ln>
                                        <a:noFill/>
                                      </a:ln>
                                    </pic:spPr>
                                  </pic:pic>
                                </a:graphicData>
                              </a:graphic>
                            </wp:inline>
                          </w:drawing>
                        </w:r>
                      </w:p>
                    </w:tc>
                    <w:tc>
                      <w:tcPr>
                        <w:tcW w:w="0" w:type="auto"/>
                        <w:tcMar>
                          <w:top w:w="0" w:type="dxa"/>
                          <w:left w:w="0" w:type="dxa"/>
                          <w:bottom w:w="300" w:type="dxa"/>
                          <w:right w:w="0" w:type="dxa"/>
                        </w:tcMar>
                        <w:vAlign w:val="center"/>
                        <w:hideMark/>
                      </w:tcPr>
                      <w:p w:rsidR="007F4741" w:rsidRDefault="007F4741">
                        <w:pPr>
                          <w:spacing w:line="288" w:lineRule="auto"/>
                          <w:rPr>
                            <w:rFonts w:ascii="Arial" w:eastAsia="Times New Roman" w:hAnsi="Arial" w:cs="Arial"/>
                            <w:b/>
                            <w:bCs/>
                            <w:color w:val="004070"/>
                          </w:rPr>
                        </w:pPr>
                        <w:r>
                          <w:rPr>
                            <w:rFonts w:ascii="Arial" w:eastAsia="Times New Roman" w:hAnsi="Arial" w:cs="Arial"/>
                            <w:b/>
                            <w:bCs/>
                            <w:color w:val="004070"/>
                          </w:rPr>
                          <w:t>Help them achieve their long-term financial goals</w:t>
                        </w:r>
                      </w:p>
                    </w:tc>
                  </w:tr>
                </w:tbl>
                <w:p w:rsidR="007F4741" w:rsidRDefault="007F4741">
                  <w:pPr>
                    <w:spacing w:line="288" w:lineRule="auto"/>
                    <w:rPr>
                      <w:rFonts w:ascii="Arial" w:eastAsia="Times New Roman" w:hAnsi="Arial" w:cs="Arial"/>
                      <w:color w:val="004070"/>
                    </w:rPr>
                  </w:pPr>
                  <w:r>
                    <w:rPr>
                      <w:rFonts w:ascii="Arial" w:eastAsia="Times New Roman" w:hAnsi="Arial" w:cs="Arial"/>
                      <w:color w:val="004070"/>
                    </w:rPr>
                    <w:t xml:space="preserve">Our competitive </w:t>
                  </w:r>
                  <w:hyperlink r:id="rId9" w:tgtFrame="_blank" w:history="1">
                    <w:r>
                      <w:rPr>
                        <w:rStyle w:val="Hyperlink"/>
                        <w:rFonts w:ascii="Arial" w:eastAsia="Times New Roman" w:hAnsi="Arial" w:cs="Arial"/>
                        <w:b/>
                        <w:bCs/>
                        <w:color w:val="004070"/>
                      </w:rPr>
                      <w:t>5- and 10-year rates</w:t>
                    </w:r>
                  </w:hyperlink>
                  <w:r>
                    <w:rPr>
                      <w:rFonts w:ascii="Arial" w:eastAsia="Times New Roman" w:hAnsi="Arial" w:cs="Arial"/>
                      <w:color w:val="004070"/>
                    </w:rPr>
                    <w:t xml:space="preserve"> mean you can offer B2B Bank RSP Loans to a wider range of clients who may be looking to catch up on their RRSP contributions or for those who may be concerned with monthly cash flow. Longer-term loans may be a more affordable option because they offer lower monthly payments.</w:t>
                  </w:r>
                </w:p>
              </w:tc>
              <w:tc>
                <w:tcPr>
                  <w:tcW w:w="0" w:type="auto"/>
                  <w:shd w:val="clear" w:color="auto" w:fill="FFFFFF"/>
                  <w:vAlign w:val="center"/>
                  <w:hideMark/>
                </w:tcPr>
                <w:p w:rsidR="007F4741" w:rsidRDefault="007F4741">
                  <w:pPr>
                    <w:rPr>
                      <w:rFonts w:ascii="Arial" w:eastAsia="Times New Roman" w:hAnsi="Arial" w:cs="Arial"/>
                      <w:color w:val="004070"/>
                    </w:rPr>
                  </w:pPr>
                </w:p>
              </w:tc>
            </w:tr>
            <w:tr w:rsidR="007F4741">
              <w:trPr>
                <w:jc w:val="center"/>
              </w:trPr>
              <w:tc>
                <w:tcPr>
                  <w:tcW w:w="0" w:type="auto"/>
                  <w:shd w:val="clear" w:color="auto" w:fill="FFEBBE"/>
                  <w:tcMar>
                    <w:top w:w="525" w:type="dxa"/>
                    <w:left w:w="525" w:type="dxa"/>
                    <w:bottom w:w="525" w:type="dxa"/>
                    <w:right w:w="52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15"/>
                    <w:gridCol w:w="2067"/>
                  </w:tblGrid>
                  <w:tr w:rsidR="007F4741">
                    <w:trPr>
                      <w:tblCellSpacing w:w="0" w:type="dxa"/>
                    </w:trPr>
                    <w:tc>
                      <w:tcPr>
                        <w:tcW w:w="0" w:type="auto"/>
                        <w:tcMar>
                          <w:top w:w="0" w:type="dxa"/>
                          <w:left w:w="0" w:type="dxa"/>
                          <w:bottom w:w="300" w:type="dxa"/>
                          <w:right w:w="225" w:type="dxa"/>
                        </w:tcMar>
                        <w:vAlign w:val="center"/>
                        <w:hideMark/>
                      </w:tcPr>
                      <w:p w:rsidR="007F4741" w:rsidRDefault="007F4741">
                        <w:pPr>
                          <w:rPr>
                            <w:rFonts w:ascii="Arial" w:eastAsia="Times New Roman" w:hAnsi="Arial" w:cs="Arial"/>
                          </w:rPr>
                        </w:pPr>
                        <w:r>
                          <w:rPr>
                            <w:rFonts w:ascii="Arial" w:eastAsia="Times New Roman" w:hAnsi="Arial" w:cs="Arial"/>
                            <w:noProof/>
                          </w:rPr>
                          <w:drawing>
                            <wp:inline distT="0" distB="0" distL="0" distR="0">
                              <wp:extent cx="429895" cy="429895"/>
                              <wp:effectExtent l="0" t="0" r="8255" b="8255"/>
                              <wp:docPr id="3" name="Picture 3" descr="check-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circ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0" w:type="auto"/>
                        <w:tcMar>
                          <w:top w:w="0" w:type="dxa"/>
                          <w:left w:w="0" w:type="dxa"/>
                          <w:bottom w:w="300" w:type="dxa"/>
                          <w:right w:w="0" w:type="dxa"/>
                        </w:tcMar>
                        <w:vAlign w:val="center"/>
                        <w:hideMark/>
                      </w:tcPr>
                      <w:p w:rsidR="007F4741" w:rsidRDefault="007F4741">
                        <w:pPr>
                          <w:spacing w:line="288" w:lineRule="auto"/>
                          <w:rPr>
                            <w:rFonts w:ascii="Arial" w:eastAsia="Times New Roman" w:hAnsi="Arial" w:cs="Arial"/>
                            <w:b/>
                            <w:bCs/>
                            <w:color w:val="004070"/>
                          </w:rPr>
                        </w:pPr>
                        <w:r>
                          <w:rPr>
                            <w:rFonts w:ascii="Arial" w:eastAsia="Times New Roman" w:hAnsi="Arial" w:cs="Arial"/>
                            <w:b/>
                            <w:bCs/>
                            <w:color w:val="004070"/>
                          </w:rPr>
                          <w:t>Get funding faster</w:t>
                        </w:r>
                      </w:p>
                    </w:tc>
                  </w:tr>
                </w:tbl>
                <w:p w:rsidR="007F4741" w:rsidRDefault="007F4741" w:rsidP="002B3050">
                  <w:pPr>
                    <w:numPr>
                      <w:ilvl w:val="0"/>
                      <w:numId w:val="1"/>
                    </w:numPr>
                    <w:spacing w:before="100" w:beforeAutospacing="1" w:after="150" w:line="288" w:lineRule="auto"/>
                    <w:rPr>
                      <w:rFonts w:ascii="Arial" w:eastAsia="Times New Roman" w:hAnsi="Arial" w:cs="Arial"/>
                      <w:color w:val="004070"/>
                    </w:rPr>
                  </w:pPr>
                  <w:r>
                    <w:rPr>
                      <w:rStyle w:val="Strong"/>
                      <w:rFonts w:eastAsia="Times New Roman"/>
                      <w:color w:val="004070"/>
                    </w:rPr>
                    <w:lastRenderedPageBreak/>
                    <w:t>No Proof of Income (POI)/ Proof of Assets (POA)</w:t>
                  </w:r>
                  <w:r>
                    <w:rPr>
                      <w:rFonts w:ascii="Arial" w:eastAsia="Times New Roman" w:hAnsi="Arial" w:cs="Arial"/>
                      <w:color w:val="004070"/>
                      <w:vertAlign w:val="superscript"/>
                    </w:rPr>
                    <w:t>1</w:t>
                  </w:r>
                  <w:r>
                    <w:rPr>
                      <w:rFonts w:ascii="Arial" w:eastAsia="Times New Roman" w:hAnsi="Arial" w:cs="Arial"/>
                      <w:color w:val="004070"/>
                    </w:rPr>
                    <w:t xml:space="preserve"> required for loans up to $50,000. </w:t>
                  </w:r>
                </w:p>
                <w:p w:rsidR="007F4741" w:rsidRDefault="007F4741" w:rsidP="002B3050">
                  <w:pPr>
                    <w:numPr>
                      <w:ilvl w:val="0"/>
                      <w:numId w:val="1"/>
                    </w:numPr>
                    <w:spacing w:before="100" w:beforeAutospacing="1" w:after="150" w:line="288" w:lineRule="auto"/>
                    <w:rPr>
                      <w:rFonts w:ascii="Arial" w:eastAsia="Times New Roman" w:hAnsi="Arial" w:cs="Arial"/>
                      <w:color w:val="004070"/>
                    </w:rPr>
                  </w:pPr>
                  <w:r>
                    <w:rPr>
                      <w:rStyle w:val="Strong"/>
                      <w:rFonts w:eastAsia="Times New Roman"/>
                      <w:color w:val="004070"/>
                    </w:rPr>
                    <w:t>Submit documents electronically by encrypted email:</w:t>
                  </w:r>
                  <w:r>
                    <w:rPr>
                      <w:rFonts w:ascii="Arial" w:eastAsia="Times New Roman" w:hAnsi="Arial" w:cs="Arial"/>
                      <w:color w:val="004070"/>
                    </w:rPr>
                    <w:t xml:space="preserve"> Applications and supporting documents may be submitted to </w:t>
                  </w:r>
                  <w:hyperlink r:id="rId11" w:tgtFrame="_blank" w:history="1">
                    <w:r>
                      <w:rPr>
                        <w:rStyle w:val="Hyperlink"/>
                        <w:rFonts w:ascii="Arial" w:eastAsia="Times New Roman" w:hAnsi="Arial" w:cs="Arial"/>
                        <w:b/>
                        <w:bCs/>
                        <w:color w:val="004070"/>
                      </w:rPr>
                      <w:t>LoanDocuments@b2bbank.com</w:t>
                    </w:r>
                  </w:hyperlink>
                  <w:r>
                    <w:rPr>
                      <w:rFonts w:ascii="Arial" w:eastAsia="Times New Roman" w:hAnsi="Arial" w:cs="Arial"/>
                      <w:color w:val="004070"/>
                    </w:rPr>
                    <w:t>.</w:t>
                  </w:r>
                  <w:r>
                    <w:rPr>
                      <w:rFonts w:ascii="Arial" w:eastAsia="Times New Roman" w:hAnsi="Arial" w:cs="Arial"/>
                      <w:color w:val="004070"/>
                      <w:vertAlign w:val="superscript"/>
                    </w:rPr>
                    <w:t>2</w:t>
                  </w:r>
                  <w:r>
                    <w:rPr>
                      <w:rFonts w:ascii="Arial" w:eastAsia="Times New Roman" w:hAnsi="Arial" w:cs="Arial"/>
                      <w:color w:val="004070"/>
                    </w:rPr>
                    <w:t xml:space="preserve"> </w:t>
                  </w:r>
                </w:p>
                <w:p w:rsidR="007F4741" w:rsidRDefault="007F4741" w:rsidP="002B3050">
                  <w:pPr>
                    <w:numPr>
                      <w:ilvl w:val="0"/>
                      <w:numId w:val="1"/>
                    </w:numPr>
                    <w:spacing w:before="100" w:beforeAutospacing="1" w:after="150" w:line="288" w:lineRule="auto"/>
                    <w:rPr>
                      <w:rFonts w:ascii="Arial" w:eastAsia="Times New Roman" w:hAnsi="Arial" w:cs="Arial"/>
                      <w:color w:val="004070"/>
                    </w:rPr>
                  </w:pPr>
                  <w:r>
                    <w:rPr>
                      <w:rStyle w:val="Strong"/>
                      <w:rFonts w:eastAsia="Times New Roman"/>
                      <w:color w:val="004070"/>
                    </w:rPr>
                    <w:t>Early applications beat the rush:</w:t>
                  </w:r>
                  <w:r>
                    <w:rPr>
                      <w:rFonts w:ascii="Arial" w:eastAsia="Times New Roman" w:hAnsi="Arial" w:cs="Arial"/>
                      <w:color w:val="004070"/>
                    </w:rPr>
                    <w:t xml:space="preserve"> Send applications prior to February 14, 2022 to avoid delays and ensure your clients’ applications can be approved and funded before the contribution deadline of March 1, 2022. </w:t>
                  </w:r>
                </w:p>
                <w:tbl>
                  <w:tblPr>
                    <w:tblW w:w="0" w:type="auto"/>
                    <w:jc w:val="center"/>
                    <w:tblCellSpacing w:w="0" w:type="dxa"/>
                    <w:tblCellMar>
                      <w:left w:w="0" w:type="dxa"/>
                      <w:right w:w="0" w:type="dxa"/>
                    </w:tblCellMar>
                    <w:tblLook w:val="04A0" w:firstRow="1" w:lastRow="0" w:firstColumn="1" w:lastColumn="0" w:noHBand="0" w:noVBand="1"/>
                  </w:tblPr>
                  <w:tblGrid>
                    <w:gridCol w:w="3541"/>
                  </w:tblGrid>
                  <w:tr w:rsidR="007F4741">
                    <w:trPr>
                      <w:tblCellSpacing w:w="0" w:type="dxa"/>
                      <w:jc w:val="center"/>
                    </w:trPr>
                    <w:tc>
                      <w:tcPr>
                        <w:tcW w:w="0" w:type="auto"/>
                        <w:shd w:val="clear" w:color="auto" w:fill="E00D42"/>
                        <w:tcMar>
                          <w:top w:w="300" w:type="dxa"/>
                          <w:left w:w="450" w:type="dxa"/>
                          <w:bottom w:w="300" w:type="dxa"/>
                          <w:right w:w="450" w:type="dxa"/>
                        </w:tcMar>
                        <w:vAlign w:val="center"/>
                        <w:hideMark/>
                      </w:tcPr>
                      <w:p w:rsidR="007F4741" w:rsidRDefault="007F4741">
                        <w:pPr>
                          <w:jc w:val="center"/>
                          <w:rPr>
                            <w:rFonts w:ascii="Arial" w:eastAsia="Times New Roman" w:hAnsi="Arial" w:cs="Arial"/>
                            <w:color w:val="FFFFFF"/>
                          </w:rPr>
                        </w:pPr>
                        <w:hyperlink r:id="rId12" w:tgtFrame="_blank" w:history="1">
                          <w:r>
                            <w:rPr>
                              <w:rStyle w:val="Hyperlink"/>
                              <w:rFonts w:ascii="Arial" w:eastAsia="Times New Roman" w:hAnsi="Arial" w:cs="Arial"/>
                              <w:b/>
                              <w:bCs/>
                              <w:color w:val="FFFFFF"/>
                            </w:rPr>
                            <w:t>Apply today with EASE</w:t>
                          </w:r>
                        </w:hyperlink>
                      </w:p>
                    </w:tc>
                  </w:tr>
                </w:tbl>
                <w:p w:rsidR="007F4741" w:rsidRDefault="007F4741">
                  <w:pPr>
                    <w:jc w:val="center"/>
                    <w:rPr>
                      <w:rFonts w:eastAsia="Times New Roman"/>
                      <w:sz w:val="20"/>
                      <w:szCs w:val="20"/>
                    </w:rPr>
                  </w:pPr>
                </w:p>
              </w:tc>
              <w:tc>
                <w:tcPr>
                  <w:tcW w:w="0" w:type="auto"/>
                  <w:shd w:val="clear" w:color="auto" w:fill="FFEBBE"/>
                  <w:vAlign w:val="center"/>
                  <w:hideMark/>
                </w:tcPr>
                <w:p w:rsidR="007F4741" w:rsidRDefault="007F4741">
                  <w:pPr>
                    <w:rPr>
                      <w:rFonts w:eastAsia="Times New Roman"/>
                      <w:sz w:val="20"/>
                      <w:szCs w:val="20"/>
                    </w:rPr>
                  </w:pPr>
                </w:p>
              </w:tc>
            </w:tr>
            <w:tr w:rsidR="007F4741">
              <w:trPr>
                <w:jc w:val="center"/>
              </w:trPr>
              <w:tc>
                <w:tcPr>
                  <w:tcW w:w="0" w:type="auto"/>
                  <w:shd w:val="clear" w:color="auto" w:fill="FDB913"/>
                  <w:tcMar>
                    <w:top w:w="525" w:type="dxa"/>
                    <w:left w:w="525" w:type="dxa"/>
                    <w:bottom w:w="525" w:type="dxa"/>
                    <w:right w:w="52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0"/>
                  </w:tblGrid>
                  <w:tr w:rsidR="007F4741">
                    <w:trPr>
                      <w:tblCellSpacing w:w="0" w:type="dxa"/>
                    </w:trPr>
                    <w:tc>
                      <w:tcPr>
                        <w:tcW w:w="0" w:type="auto"/>
                        <w:tcMar>
                          <w:top w:w="0" w:type="dxa"/>
                          <w:left w:w="0" w:type="dxa"/>
                          <w:bottom w:w="300" w:type="dxa"/>
                          <w:right w:w="0" w:type="dxa"/>
                        </w:tcMar>
                        <w:hideMark/>
                      </w:tcPr>
                      <w:p w:rsidR="007F4741" w:rsidRDefault="007F4741">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429895" cy="484505"/>
                              <wp:effectExtent l="0" t="0" r="8255" b="0"/>
                              <wp:docPr id="2" name="Picture 2" descr="user-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ti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895" cy="484505"/>
                                      </a:xfrm>
                                      <a:prstGeom prst="rect">
                                        <a:avLst/>
                                      </a:prstGeom>
                                      <a:noFill/>
                                      <a:ln>
                                        <a:noFill/>
                                      </a:ln>
                                    </pic:spPr>
                                  </pic:pic>
                                </a:graphicData>
                              </a:graphic>
                            </wp:inline>
                          </w:drawing>
                        </w:r>
                      </w:p>
                    </w:tc>
                  </w:tr>
                </w:tbl>
                <w:p w:rsidR="007F4741" w:rsidRDefault="007F4741">
                  <w:pPr>
                    <w:spacing w:line="288" w:lineRule="auto"/>
                    <w:rPr>
                      <w:rFonts w:ascii="Arial" w:eastAsia="Times New Roman" w:hAnsi="Arial" w:cs="Arial"/>
                      <w:color w:val="000000"/>
                    </w:rPr>
                  </w:pPr>
                  <w:r>
                    <w:rPr>
                      <w:rFonts w:ascii="Arial" w:eastAsia="Times New Roman" w:hAnsi="Arial" w:cs="Arial"/>
                      <w:color w:val="000000"/>
                    </w:rPr>
                    <w:t xml:space="preserve">Connect with your </w:t>
                  </w:r>
                  <w:hyperlink r:id="rId14" w:tgtFrame="_blank" w:history="1">
                    <w:r>
                      <w:rPr>
                        <w:rStyle w:val="Hyperlink"/>
                        <w:rFonts w:ascii="Arial" w:eastAsia="Times New Roman" w:hAnsi="Arial" w:cs="Arial"/>
                        <w:b/>
                        <w:bCs/>
                        <w:color w:val="004070"/>
                      </w:rPr>
                      <w:t>Business Development Manager</w:t>
                    </w:r>
                  </w:hyperlink>
                  <w:r>
                    <w:rPr>
                      <w:rFonts w:ascii="Arial" w:eastAsia="Times New Roman" w:hAnsi="Arial" w:cs="Arial"/>
                      <w:color w:val="000000"/>
                    </w:rPr>
                    <w:t xml:space="preserve"> for more information or visit our </w:t>
                  </w:r>
                  <w:hyperlink r:id="rId15" w:tgtFrame="_blank" w:history="1">
                    <w:r>
                      <w:rPr>
                        <w:rStyle w:val="Hyperlink"/>
                        <w:rFonts w:ascii="Arial" w:eastAsia="Times New Roman" w:hAnsi="Arial" w:cs="Arial"/>
                        <w:b/>
                        <w:bCs/>
                        <w:color w:val="004070"/>
                      </w:rPr>
                      <w:t>RSP Resource Centre</w:t>
                    </w:r>
                  </w:hyperlink>
                  <w:r>
                    <w:rPr>
                      <w:rFonts w:ascii="Arial" w:eastAsia="Times New Roman" w:hAnsi="Arial" w:cs="Arial"/>
                      <w:color w:val="000000"/>
                    </w:rPr>
                    <w:t>.</w:t>
                  </w:r>
                </w:p>
              </w:tc>
              <w:tc>
                <w:tcPr>
                  <w:tcW w:w="0" w:type="auto"/>
                  <w:shd w:val="clear" w:color="auto" w:fill="FDB913"/>
                  <w:vAlign w:val="center"/>
                  <w:hideMark/>
                </w:tcPr>
                <w:p w:rsidR="007F4741" w:rsidRDefault="007F4741">
                  <w:pPr>
                    <w:rPr>
                      <w:rFonts w:ascii="Arial" w:eastAsia="Times New Roman" w:hAnsi="Arial" w:cs="Arial"/>
                      <w:color w:val="000000"/>
                    </w:rPr>
                  </w:pPr>
                </w:p>
              </w:tc>
            </w:tr>
            <w:tr w:rsidR="007F4741">
              <w:trPr>
                <w:jc w:val="center"/>
              </w:trPr>
              <w:tc>
                <w:tcPr>
                  <w:tcW w:w="0" w:type="auto"/>
                  <w:shd w:val="clear" w:color="auto" w:fill="004071"/>
                  <w:tcMar>
                    <w:top w:w="525" w:type="dxa"/>
                    <w:left w:w="525" w:type="dxa"/>
                    <w:bottom w:w="525" w:type="dxa"/>
                    <w:right w:w="525" w:type="dxa"/>
                  </w:tcMar>
                  <w:vAlign w:val="center"/>
                </w:tcPr>
                <w:tbl>
                  <w:tblPr>
                    <w:tblW w:w="5000" w:type="pct"/>
                    <w:tblCellMar>
                      <w:left w:w="0" w:type="dxa"/>
                      <w:right w:w="0" w:type="dxa"/>
                    </w:tblCellMar>
                    <w:tblLook w:val="04A0" w:firstRow="1" w:lastRow="0" w:firstColumn="1" w:lastColumn="0" w:noHBand="0" w:noVBand="1"/>
                  </w:tblPr>
                  <w:tblGrid>
                    <w:gridCol w:w="7944"/>
                  </w:tblGrid>
                  <w:tr w:rsidR="007F4741">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944"/>
                        </w:tblGrid>
                        <w:tr w:rsidR="007F4741">
                          <w:trPr>
                            <w:tblCellSpacing w:w="0" w:type="dxa"/>
                          </w:trPr>
                          <w:tc>
                            <w:tcPr>
                              <w:tcW w:w="0" w:type="auto"/>
                              <w:tcBorders>
                                <w:top w:val="nil"/>
                                <w:left w:val="nil"/>
                                <w:bottom w:val="single" w:sz="18" w:space="0" w:color="FFFFFF"/>
                                <w:right w:val="nil"/>
                              </w:tcBorders>
                              <w:tcMar>
                                <w:top w:w="0" w:type="dxa"/>
                                <w:left w:w="0" w:type="dxa"/>
                                <w:bottom w:w="150" w:type="dxa"/>
                                <w:right w:w="0" w:type="dxa"/>
                              </w:tcMar>
                              <w:vAlign w:val="center"/>
                              <w:hideMark/>
                            </w:tcPr>
                            <w:p w:rsidR="007F4741" w:rsidRDefault="007F4741">
                              <w:pPr>
                                <w:spacing w:line="288" w:lineRule="auto"/>
                                <w:rPr>
                                  <w:rFonts w:ascii="Arial" w:eastAsia="Times New Roman" w:hAnsi="Arial" w:cs="Arial"/>
                                  <w:b/>
                                  <w:bCs/>
                                  <w:color w:val="FFFFFF"/>
                                </w:rPr>
                              </w:pPr>
                              <w:r>
                                <w:rPr>
                                  <w:rFonts w:ascii="Arial" w:eastAsia="Times New Roman" w:hAnsi="Arial" w:cs="Arial"/>
                                  <w:b/>
                                  <w:bCs/>
                                  <w:color w:val="FFFFFF"/>
                                </w:rPr>
                                <w:t xml:space="preserve">Contact &amp; Legal </w:t>
                              </w:r>
                            </w:p>
                          </w:tc>
                        </w:tr>
                      </w:tbl>
                      <w:p w:rsidR="007F4741" w:rsidRDefault="007F4741">
                        <w:pPr>
                          <w:rPr>
                            <w:rFonts w:eastAsia="Times New Roman"/>
                            <w:sz w:val="20"/>
                            <w:szCs w:val="20"/>
                          </w:rPr>
                        </w:pPr>
                      </w:p>
                    </w:tc>
                  </w:tr>
                </w:tbl>
                <w:p w:rsidR="007F4741" w:rsidRDefault="007F474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7944"/>
                  </w:tblGrid>
                  <w:tr w:rsidR="007F4741">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944"/>
                        </w:tblGrid>
                        <w:tr w:rsidR="007F4741">
                          <w:trPr>
                            <w:tblCellSpacing w:w="0" w:type="dxa"/>
                          </w:trPr>
                          <w:tc>
                            <w:tcPr>
                              <w:tcW w:w="5000" w:type="pct"/>
                              <w:tcMar>
                                <w:top w:w="300" w:type="dxa"/>
                                <w:left w:w="0" w:type="dxa"/>
                                <w:bottom w:w="0" w:type="dxa"/>
                                <w:right w:w="0" w:type="dxa"/>
                              </w:tcMar>
                              <w:hideMark/>
                            </w:tcPr>
                            <w:p w:rsidR="007F4741" w:rsidRDefault="007F4741">
                              <w:pPr>
                                <w:spacing w:line="360" w:lineRule="auto"/>
                                <w:rPr>
                                  <w:rFonts w:ascii="Arial" w:eastAsia="Times New Roman" w:hAnsi="Arial" w:cs="Arial"/>
                                  <w:color w:val="FFFFFF"/>
                                  <w:sz w:val="15"/>
                                  <w:szCs w:val="15"/>
                                  <w:u w:val="single"/>
                                </w:rPr>
                              </w:pPr>
                              <w:hyperlink r:id="rId16" w:history="1">
                                <w:r>
                                  <w:rPr>
                                    <w:rStyle w:val="Hyperlink"/>
                                    <w:rFonts w:ascii="Arial" w:eastAsia="Times New Roman" w:hAnsi="Arial" w:cs="Arial"/>
                                    <w:color w:val="FFFFFF"/>
                                    <w:sz w:val="15"/>
                                    <w:szCs w:val="15"/>
                                  </w:rPr>
                                  <w:t>Legal Notice</w:t>
                                </w:r>
                              </w:hyperlink>
                              <w:r>
                                <w:rPr>
                                  <w:rStyle w:val="linkfix1"/>
                                  <w:rFonts w:eastAsia="Times New Roman"/>
                                  <w:sz w:val="15"/>
                                  <w:szCs w:val="15"/>
                                </w:rPr>
                                <w:t xml:space="preserve"> </w:t>
                              </w:r>
                              <w:r>
                                <w:rPr>
                                  <w:rFonts w:ascii="Arial" w:eastAsia="Times New Roman" w:hAnsi="Arial" w:cs="Arial"/>
                                  <w:color w:val="FFFFFF"/>
                                  <w:sz w:val="15"/>
                                  <w:szCs w:val="15"/>
                                  <w:u w:val="single"/>
                                </w:rPr>
                                <w:br/>
                              </w:r>
                              <w:hyperlink r:id="rId17" w:history="1">
                                <w:r>
                                  <w:rPr>
                                    <w:rStyle w:val="Hyperlink"/>
                                    <w:rFonts w:ascii="Arial" w:eastAsia="Times New Roman" w:hAnsi="Arial" w:cs="Arial"/>
                                    <w:color w:val="FFFFFF"/>
                                    <w:sz w:val="15"/>
                                    <w:szCs w:val="15"/>
                                  </w:rPr>
                                  <w:t>Privacy</w:t>
                                </w:r>
                              </w:hyperlink>
                              <w:r>
                                <w:rPr>
                                  <w:rStyle w:val="linkfix1"/>
                                  <w:rFonts w:eastAsia="Times New Roman"/>
                                  <w:sz w:val="15"/>
                                  <w:szCs w:val="15"/>
                                </w:rPr>
                                <w:t xml:space="preserve"> </w:t>
                              </w:r>
                              <w:r>
                                <w:rPr>
                                  <w:rFonts w:ascii="Arial" w:eastAsia="Times New Roman" w:hAnsi="Arial" w:cs="Arial"/>
                                  <w:color w:val="FFFFFF"/>
                                  <w:sz w:val="15"/>
                                  <w:szCs w:val="15"/>
                                  <w:u w:val="single"/>
                                </w:rPr>
                                <w:br/>
                              </w:r>
                              <w:hyperlink r:id="rId18" w:history="1">
                                <w:r>
                                  <w:rPr>
                                    <w:rStyle w:val="Hyperlink"/>
                                    <w:rFonts w:ascii="Arial" w:eastAsia="Times New Roman" w:hAnsi="Arial" w:cs="Arial"/>
                                    <w:color w:val="FFFFFF"/>
                                    <w:sz w:val="15"/>
                                    <w:szCs w:val="15"/>
                                  </w:rPr>
                                  <w:t>Unsubscribe</w:t>
                                </w:r>
                              </w:hyperlink>
                            </w:p>
                          </w:tc>
                        </w:tr>
                        <w:tr w:rsidR="007F4741">
                          <w:trPr>
                            <w:tblCellSpacing w:w="0" w:type="dxa"/>
                          </w:trPr>
                          <w:tc>
                            <w:tcPr>
                              <w:tcW w:w="5000" w:type="pct"/>
                              <w:tcMar>
                                <w:top w:w="300" w:type="dxa"/>
                                <w:left w:w="0" w:type="dxa"/>
                                <w:bottom w:w="0" w:type="dxa"/>
                                <w:right w:w="0" w:type="dxa"/>
                              </w:tcMar>
                              <w:vAlign w:val="center"/>
                              <w:hideMark/>
                            </w:tcPr>
                            <w:p w:rsidR="007F4741" w:rsidRDefault="007F4741">
                              <w:pPr>
                                <w:spacing w:line="288" w:lineRule="auto"/>
                                <w:rPr>
                                  <w:rFonts w:ascii="Arial" w:eastAsia="Times New Roman" w:hAnsi="Arial" w:cs="Arial"/>
                                  <w:color w:val="FFFFFF"/>
                                  <w:sz w:val="15"/>
                                  <w:szCs w:val="15"/>
                                </w:rPr>
                              </w:pPr>
                              <w:r>
                                <w:rPr>
                                  <w:rFonts w:ascii="Arial" w:eastAsia="Times New Roman" w:hAnsi="Arial" w:cs="Arial"/>
                                  <w:color w:val="FFFFFF"/>
                                  <w:sz w:val="15"/>
                                  <w:szCs w:val="15"/>
                                </w:rPr>
                                <w:t>B2B Bank</w:t>
                              </w:r>
                              <w:r>
                                <w:rPr>
                                  <w:rFonts w:ascii="Arial" w:eastAsia="Times New Roman" w:hAnsi="Arial" w:cs="Arial"/>
                                  <w:color w:val="FFFFFF"/>
                                  <w:sz w:val="15"/>
                                  <w:szCs w:val="15"/>
                                </w:rPr>
                                <w:br/>
                                <w:t xml:space="preserve">199 Bay Street, Suite 600 </w:t>
                              </w:r>
                              <w:r>
                                <w:rPr>
                                  <w:rFonts w:ascii="Arial" w:eastAsia="Times New Roman" w:hAnsi="Arial" w:cs="Arial"/>
                                  <w:color w:val="FFFFFF"/>
                                  <w:sz w:val="15"/>
                                  <w:szCs w:val="15"/>
                                </w:rPr>
                                <w:br/>
                                <w:t xml:space="preserve">PO Box 279 STN Commerce Court </w:t>
                              </w:r>
                              <w:r>
                                <w:rPr>
                                  <w:rFonts w:ascii="Arial" w:eastAsia="Times New Roman" w:hAnsi="Arial" w:cs="Arial"/>
                                  <w:color w:val="FFFFFF"/>
                                  <w:sz w:val="15"/>
                                  <w:szCs w:val="15"/>
                                </w:rPr>
                                <w:br/>
                                <w:t>Toronto ON M5L 0A2</w:t>
                              </w:r>
                              <w:r>
                                <w:rPr>
                                  <w:rFonts w:ascii="Arial" w:eastAsia="Times New Roman" w:hAnsi="Arial" w:cs="Arial"/>
                                  <w:color w:val="FFFFFF"/>
                                  <w:sz w:val="15"/>
                                  <w:szCs w:val="15"/>
                                </w:rPr>
                                <w:br/>
                                <w:t xml:space="preserve">1-800-263-8349 </w:t>
                              </w:r>
                            </w:p>
                          </w:tc>
                        </w:tr>
                      </w:tbl>
                      <w:p w:rsidR="007F4741" w:rsidRDefault="007F4741">
                        <w:pPr>
                          <w:rPr>
                            <w:rFonts w:eastAsia="Times New Roman"/>
                            <w:sz w:val="20"/>
                            <w:szCs w:val="20"/>
                          </w:rPr>
                        </w:pPr>
                      </w:p>
                    </w:tc>
                  </w:tr>
                </w:tbl>
                <w:p w:rsidR="007F4741" w:rsidRDefault="007F4741">
                  <w:pPr>
                    <w:rPr>
                      <w:rFonts w:eastAsia="Times New Roman"/>
                      <w:sz w:val="20"/>
                      <w:szCs w:val="20"/>
                    </w:rPr>
                  </w:pPr>
                </w:p>
              </w:tc>
              <w:tc>
                <w:tcPr>
                  <w:tcW w:w="0" w:type="auto"/>
                  <w:vAlign w:val="center"/>
                  <w:hideMark/>
                </w:tcPr>
                <w:p w:rsidR="007F4741" w:rsidRDefault="007F4741">
                  <w:pPr>
                    <w:rPr>
                      <w:rFonts w:eastAsia="Times New Roman"/>
                      <w:sz w:val="20"/>
                      <w:szCs w:val="20"/>
                    </w:rPr>
                  </w:pPr>
                </w:p>
              </w:tc>
            </w:tr>
            <w:tr w:rsidR="007F4741">
              <w:trPr>
                <w:jc w:val="center"/>
              </w:trPr>
              <w:tc>
                <w:tcPr>
                  <w:tcW w:w="0" w:type="auto"/>
                  <w:shd w:val="clear" w:color="auto" w:fill="004071"/>
                  <w:tcMar>
                    <w:top w:w="0" w:type="dxa"/>
                    <w:left w:w="525" w:type="dxa"/>
                    <w:bottom w:w="525" w:type="dxa"/>
                    <w:right w:w="525" w:type="dxa"/>
                  </w:tcMar>
                  <w:vAlign w:val="center"/>
                  <w:hideMark/>
                </w:tcPr>
                <w:p w:rsidR="007F4741" w:rsidRDefault="007F4741">
                  <w:pPr>
                    <w:spacing w:line="288" w:lineRule="auto"/>
                    <w:rPr>
                      <w:rFonts w:ascii="Arial" w:eastAsia="Times New Roman" w:hAnsi="Arial" w:cs="Arial"/>
                      <w:color w:val="FFFFFF"/>
                      <w:sz w:val="15"/>
                      <w:szCs w:val="15"/>
                    </w:rPr>
                  </w:pPr>
                  <w:r>
                    <w:rPr>
                      <w:rFonts w:ascii="Arial" w:eastAsia="Times New Roman" w:hAnsi="Arial" w:cs="Arial"/>
                      <w:color w:val="FFFFFF"/>
                      <w:sz w:val="15"/>
                      <w:szCs w:val="15"/>
                    </w:rPr>
                    <w:lastRenderedPageBreak/>
                    <w:t xml:space="preserve">1. Terms and conditions apply. Occasionally, B2B Bank may request POI/POA on certain applications. Subject to dealer requirements. </w:t>
                  </w:r>
                  <w:r>
                    <w:rPr>
                      <w:rFonts w:ascii="Arial" w:eastAsia="Times New Roman" w:hAnsi="Arial" w:cs="Arial"/>
                      <w:color w:val="FFFFFF"/>
                      <w:sz w:val="15"/>
                      <w:szCs w:val="15"/>
                    </w:rPr>
                    <w:br/>
                  </w:r>
                  <w:r>
                    <w:rPr>
                      <w:rFonts w:ascii="Arial" w:eastAsia="Times New Roman" w:hAnsi="Arial" w:cs="Arial"/>
                      <w:color w:val="FFFFFF"/>
                      <w:sz w:val="15"/>
                      <w:szCs w:val="15"/>
                    </w:rPr>
                    <w:br/>
                    <w:t xml:space="preserve">2. Documents submitted to us electronically must be sent by encrypted email for all loan applications. Where email encryption is not possible, you may continue to transmit such information to us by fax at </w:t>
                  </w:r>
                  <w:hyperlink r:id="rId19" w:tgtFrame="_blank" w:history="1">
                    <w:r>
                      <w:rPr>
                        <w:rStyle w:val="Hyperlink"/>
                        <w:rFonts w:ascii="Arial" w:eastAsia="Times New Roman" w:hAnsi="Arial" w:cs="Arial"/>
                        <w:color w:val="FFFFFF"/>
                        <w:sz w:val="15"/>
                        <w:szCs w:val="15"/>
                      </w:rPr>
                      <w:t>1</w:t>
                    </w:r>
                    <w:r>
                      <w:rPr>
                        <w:rStyle w:val="Hyperlink"/>
                        <w:rFonts w:ascii="Arial" w:eastAsia="Times New Roman" w:hAnsi="Arial" w:cs="Arial"/>
                        <w:color w:val="FFFFFF"/>
                        <w:sz w:val="15"/>
                        <w:szCs w:val="15"/>
                      </w:rPr>
                      <w:noBreakHyphen/>
                      <w:t>866</w:t>
                    </w:r>
                    <w:r>
                      <w:rPr>
                        <w:rStyle w:val="Hyperlink"/>
                        <w:rFonts w:ascii="Arial" w:eastAsia="Times New Roman" w:hAnsi="Arial" w:cs="Arial"/>
                        <w:color w:val="FFFFFF"/>
                        <w:sz w:val="15"/>
                        <w:szCs w:val="15"/>
                      </w:rPr>
                      <w:noBreakHyphen/>
                      <w:t>941</w:t>
                    </w:r>
                    <w:r>
                      <w:rPr>
                        <w:rStyle w:val="Hyperlink"/>
                        <w:rFonts w:ascii="Arial" w:eastAsia="Times New Roman" w:hAnsi="Arial" w:cs="Arial"/>
                        <w:color w:val="FFFFFF"/>
                        <w:sz w:val="15"/>
                        <w:szCs w:val="15"/>
                      </w:rPr>
                      <w:noBreakHyphen/>
                      <w:t>7711</w:t>
                    </w:r>
                  </w:hyperlink>
                  <w:r>
                    <w:rPr>
                      <w:rFonts w:ascii="Arial" w:eastAsia="Times New Roman" w:hAnsi="Arial" w:cs="Arial"/>
                      <w:color w:val="FFFFFF"/>
                      <w:sz w:val="15"/>
                      <w:szCs w:val="15"/>
                    </w:rPr>
                    <w:t>. Advisors accept responsibility for ensuring the protection of all information and files transferred to B2B Bank via email. Applications and supporting documents must be submitted from advisors' corporate email addresses.</w:t>
                  </w:r>
                  <w:r>
                    <w:rPr>
                      <w:rFonts w:ascii="Arial" w:eastAsia="Times New Roman" w:hAnsi="Arial" w:cs="Arial"/>
                      <w:color w:val="FFFFFF"/>
                      <w:sz w:val="15"/>
                      <w:szCs w:val="15"/>
                    </w:rPr>
                    <w:br/>
                  </w:r>
                  <w:r>
                    <w:rPr>
                      <w:rFonts w:ascii="Arial" w:eastAsia="Times New Roman" w:hAnsi="Arial" w:cs="Arial"/>
                      <w:color w:val="FFFFFF"/>
                      <w:sz w:val="15"/>
                      <w:szCs w:val="15"/>
                    </w:rPr>
                    <w:br/>
                    <w:t xml:space="preserve">B2B Bank acts in the capacity of lender and/or account administrator and does not provide investment advice to individuals or advisors. Dealers, advisors and brokers, not B2B Bank, are responsible for determining the suitability of products and services for their clients and for informing them of any related risks. Any loan approval by B2B Bank should not be construed as an endorsement of any investment choice, program, or strategy. All loans are subject to credit approval and borrowed monies are due and payable regardless of the performance of the investments. While RSP loans have the ability to magnify gains, they also have the potential to magnify market losses. B2B Bank reserves the right to request additional information or documentation at its sole discretion. B2B Bank products and services are only available through financial intermediaries. B2B Bank Dealer Services includes B2B Bank Financial Services Inc. (an MFDA member), B2B Bank Securities Services Inc. (an IIROC member, Member — Canadian Investor Protection Fund) and B2B Bank Intermediary Services Inc. (an AMF-regulated dealer operating in Quebec). B2B Bank is a trademark used under license. </w:t>
                  </w:r>
                  <w:r>
                    <w:rPr>
                      <w:rFonts w:ascii="Arial" w:eastAsia="Times New Roman" w:hAnsi="Arial" w:cs="Arial"/>
                      <w:color w:val="FFFFFF"/>
                      <w:sz w:val="15"/>
                      <w:szCs w:val="15"/>
                    </w:rPr>
                    <w:br/>
                  </w:r>
                  <w:r>
                    <w:rPr>
                      <w:rFonts w:ascii="Arial" w:eastAsia="Times New Roman" w:hAnsi="Arial" w:cs="Arial"/>
                      <w:color w:val="FFFFFF"/>
                      <w:sz w:val="15"/>
                      <w:szCs w:val="15"/>
                    </w:rPr>
                    <w:br/>
                    <w:t>B2B Bank is a wholly-owned subsidiary of Laurentian Bank of Canada. ®B2B BANK is a registered trademark of B2B Bank.</w:t>
                  </w:r>
                </w:p>
              </w:tc>
              <w:tc>
                <w:tcPr>
                  <w:tcW w:w="0" w:type="auto"/>
                  <w:vAlign w:val="center"/>
                  <w:hideMark/>
                </w:tcPr>
                <w:p w:rsidR="007F4741" w:rsidRDefault="007F4741">
                  <w:pPr>
                    <w:rPr>
                      <w:rFonts w:ascii="Arial" w:eastAsia="Times New Roman" w:hAnsi="Arial" w:cs="Arial"/>
                      <w:color w:val="FFFFFF"/>
                      <w:sz w:val="15"/>
                      <w:szCs w:val="15"/>
                    </w:rPr>
                  </w:pPr>
                </w:p>
              </w:tc>
            </w:tr>
          </w:tbl>
          <w:p w:rsidR="007F4741" w:rsidRDefault="007F4741">
            <w:pPr>
              <w:jc w:val="center"/>
              <w:rPr>
                <w:rFonts w:eastAsia="Times New Roman"/>
                <w:sz w:val="20"/>
                <w:szCs w:val="20"/>
              </w:rPr>
            </w:pPr>
          </w:p>
        </w:tc>
      </w:tr>
    </w:tbl>
    <w:p w:rsidR="007F4741" w:rsidRDefault="007F4741" w:rsidP="007F4741">
      <w:pPr>
        <w:rPr>
          <w:rFonts w:ascii="Arial" w:eastAsia="Times New Roman" w:hAnsi="Arial" w:cs="Arial"/>
        </w:rPr>
      </w:pPr>
      <w:r>
        <w:rPr>
          <w:rFonts w:ascii="Arial" w:eastAsia="Times New Roman" w:hAnsi="Arial" w:cs="Arial"/>
          <w:noProof/>
        </w:rPr>
        <w:lastRenderedPageBreak/>
        <w:drawing>
          <wp:inline distT="0" distB="0" distL="0" distR="0">
            <wp:extent cx="10795" cy="10795"/>
            <wp:effectExtent l="0" t="0" r="0" b="0"/>
            <wp:docPr id="1" name="Picture 1" descr="http://mkto-a0326.com/trk?t=1&amp;mid=OTMxLUZIVC04OTk6MDoxMTQzNDo0MjcwNDoxMDI2ODM6MjcwMzE6OToyNDkwNTo2MTc3OTc4LTM6dnJheWVAaWRjd2luLm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kto-a0326.com/trk?t=1&amp;mid=OTMxLUZIVC04OTk6MDoxMTQzNDo0MjcwNDoxMDI2ODM6MjcwMzE6OToyNDkwNTo2MTc3OTc4LTM6dnJheWVAaWRjd2luLmN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367DB8" w:rsidRDefault="00367DB8"/>
    <w:sectPr w:rsidR="00367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066B5"/>
    <w:multiLevelType w:val="multilevel"/>
    <w:tmpl w:val="F064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41"/>
    <w:rsid w:val="00367DB8"/>
    <w:rsid w:val="007F47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2F7A-A1E8-4806-8250-84799A64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4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741"/>
    <w:rPr>
      <w:rFonts w:ascii="Arial" w:hAnsi="Arial" w:cs="Arial" w:hint="default"/>
      <w:b/>
      <w:bCs/>
    </w:rPr>
  </w:style>
  <w:style w:type="character" w:customStyle="1" w:styleId="linkfix1">
    <w:name w:val="linkfix1"/>
    <w:basedOn w:val="DefaultParagraphFont"/>
    <w:rsid w:val="007F4741"/>
    <w:rPr>
      <w:rFonts w:ascii="Arial" w:hAnsi="Arial" w:cs="Arial" w:hint="default"/>
      <w:color w:val="FFFFFF"/>
    </w:rPr>
  </w:style>
  <w:style w:type="character" w:styleId="Hyperlink">
    <w:name w:val="Hyperlink"/>
    <w:basedOn w:val="DefaultParagraphFont"/>
    <w:uiPriority w:val="99"/>
    <w:semiHidden/>
    <w:unhideWhenUsed/>
    <w:rsid w:val="007F4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mkto-a0326.com/OTMxLUZIVC04OTkAAAGB882bXb0NXjjdzl5d9zXlU_-BExccRXt9-MrujHT4PkX_DfCV_SVW6uXEsAoB83egNlCoBZ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kto-a0326.com/OTMxLUZIVC04OTkAAAGB882bXfGadRJ1XLNvHB0lIGuqEsdI2UCSjpA-5-J6CUEHvXh-fDERoW--SjtoLP0EnVgA3mo=" TargetMode="External"/><Relationship Id="rId12" Type="http://schemas.openxmlformats.org/officeDocument/2006/relationships/hyperlink" Target="http://mkto-a0326.com/OTMxLUZIVC04OTkAAAGB882bXYVG1zcOg9VRnnAW1awIzyfAKnzXskqV76zifbiG-h4W8F8W3vbpSQxGQmk5XaQV2kM=" TargetMode="External"/><Relationship Id="rId17" Type="http://schemas.openxmlformats.org/officeDocument/2006/relationships/hyperlink" Target="http://mkto-a0326.com/OTMxLUZIVC04OTkAAAGB882bXYitj3CGbhYFljuMjtY8y4Gxt1JgQTRCmit_DuwmY3cpgg-rZpYwZ_iGhQvy50r36d0=" TargetMode="External"/><Relationship Id="rId2" Type="http://schemas.openxmlformats.org/officeDocument/2006/relationships/styles" Target="styles.xml"/><Relationship Id="rId16" Type="http://schemas.openxmlformats.org/officeDocument/2006/relationships/hyperlink" Target="http://mkto-a0326.com/OTMxLUZIVC04OTkAAAGB882bXR4CIwSX5Ny2u9Iqzu_hHmDMzfUInnndRKotbfg_qGHg_EgYKkJJOVqWMzUe3hV6TfY="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info.b2bbank.com/index.php/email/emailWebview?mkt_tok=OTMxLUZIVC04OTkAAAGB882bXSyF-v1lpel6tZLX_-HYkcMnSCvakxAsojV_hYhwaCC4HYwAndJapXaoFsvwvqSsEJqjfTQHm2yXr1a1qZ4aHEEFPsKP2_1zSOKU_B0k&amp;md_id=27031" TargetMode="External"/><Relationship Id="rId11" Type="http://schemas.openxmlformats.org/officeDocument/2006/relationships/hyperlink" Target="http://mkto-a0326.com/OTMxLUZIVC04OTkAAAGB882bXYyGT0RvlSgAA1YSV0F47RIYCzp55L9DDzQ6FNDeWcEc2JBi-iQMIX6bDGyKufnSnCg=" TargetMode="External"/><Relationship Id="rId5" Type="http://schemas.openxmlformats.org/officeDocument/2006/relationships/image" Target="media/image1.jpeg"/><Relationship Id="rId15" Type="http://schemas.openxmlformats.org/officeDocument/2006/relationships/hyperlink" Target="http://mkto-a0326.com/OTMxLUZIVC04OTkAAAGB882bXYuRSm8gctJsvyZVXyZJk32qJbvpcPKjepf711dD8FlNvrdpg7y-39ZgocsGe8fhaLI=" TargetMode="External"/><Relationship Id="rId10" Type="http://schemas.openxmlformats.org/officeDocument/2006/relationships/image" Target="media/image3.png"/><Relationship Id="rId19" Type="http://schemas.openxmlformats.org/officeDocument/2006/relationships/hyperlink" Target="http://mkto-a0326.com/OTMxLUZIVC04OTkAAAGB882bXXt7Dwp6ufIIMzOtg6a_Ok9J9wX8URC9v6NBo2TvaP_trcOFU8geP-Trmy5QtgdebGM=" TargetMode="External"/><Relationship Id="rId4" Type="http://schemas.openxmlformats.org/officeDocument/2006/relationships/webSettings" Target="webSettings.xml"/><Relationship Id="rId9" Type="http://schemas.openxmlformats.org/officeDocument/2006/relationships/hyperlink" Target="http://mkto-a0326.com/OTMxLUZIVC04OTkAAAGB882bXRXAu31gZsbBBnGSj28mT3C8ThrLkrMzCroN_N9O4VKFeycJj2MwvJY2c0okQjMhZio=" TargetMode="External"/><Relationship Id="rId14" Type="http://schemas.openxmlformats.org/officeDocument/2006/relationships/hyperlink" Target="http://mkto-a0326.com/OTMxLUZIVC04OTkAAAGB882bXYkDDSFmzn8Dne1pN2LtTncjepB8lXufb3gpqQL28_3DuU7kigBNibTS-ZnrJk8giQ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Raye</dc:creator>
  <cp:keywords/>
  <dc:description/>
  <cp:lastModifiedBy>Victor Raye</cp:lastModifiedBy>
  <cp:revision>1</cp:revision>
  <dcterms:created xsi:type="dcterms:W3CDTF">2022-01-17T20:13:00Z</dcterms:created>
  <dcterms:modified xsi:type="dcterms:W3CDTF">2022-01-17T20:15:00Z</dcterms:modified>
</cp:coreProperties>
</file>